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справка</w:t>
        <w:br/>
        <w:t>по во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просу 1 о </w:t>
      </w:r>
      <w:r>
        <w:rPr>
          <w:rFonts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>Национальной модели целевых условий ведения бизнеса и Своде ключевых показателей эффективности Камчатского края до 2030 года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</w:rPr>
        <w:t>14.02.2025 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а заседании комиссии Государственного совета Российской Федерации по направлению «Инвестиции» под председательством губернатора Сахалинской области Валерия Лимаренко представлены ключевые региональные показатели Национальной модели целевых условий ведения бизнеса в субъектах Российской Федерации (далее — Национальная модель). Эта модель разрабатывается совместно с Минэкономразвития России и деловыми объединениями, она направлена на улучшение инвестиционного климата в субъектах Российской Федерации и напрямую связана с показателями Национального рейтинга состояния инвестиционного климата в субъектах Российской Федерации (далее — Национальный рейтинг). 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Ряд показателей Национального рейтинга имеет природу управленческого воздействия, поэтому из 85 существующих показателей выделены только 29, к которым применены целевые значения (с разбивкой по годам, вплоть до 2030 года). Эти целевые значения будут фиксировать улучшения, связанные с инвестиционным климатом, также они затронут клиентские пути инвестора при запуске и реализации бизнеса, а также вопросы, связанные с контрольно-надзорной деятельностью, развитием малого и среднего предпринимательства (далее — МСП), процедурами по получению разрешений на строительство, подключению к коммуникациям, регистрацией прав собственности.</w:t>
      </w:r>
      <w:r>
        <w:rPr>
          <w:rFonts w:ascii="Times New Roman" w:hAnsi="Times New Roman"/>
        </w:rPr>
        <w:t xml:space="preserve"> Для каждого из этих показателей установлены целевые значения на 2027 и 2030 годы.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Национальная модель призвана не только улучшить инвестиционный климат, но и обеспечить равные возможности для развития бизнеса во всех субъектах Российской Федерации. Таким образом, реализация этой инициативы станет важным шагом на пути к достижению стратегических целей экономического развития каждого региона в отдельности и в целом всей страны.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Исполнительные органы Камчатского края подготовили свод замечаний и предложений к разрабатываемой Национальной модели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(в соответствии с прилагаемой таблицей в формате </w:t>
      </w: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>xlsx)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Информация </w:t>
      </w:r>
      <w:r>
        <w:rPr>
          <w:rFonts w:ascii="Times New Roman" w:hAnsi="Times New Roman"/>
          <w:b/>
          <w:bCs/>
          <w:sz w:val="28"/>
          <w:szCs w:val="28"/>
        </w:rPr>
        <w:t>по состоянию на 05.03.2025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подготовлена по запросу Минэкономразвития России. 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1. Министерство экономического развития Камчатского края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«Административное давление на бизнес».</w:t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Показатель 3.2.1 «Среднее количество контрольно-надзорных мероприятий в год».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расчете показателя 3.2.1 «Среднее количество контрольно-надзорных мероприятий в год» </w:t>
      </w:r>
      <w:r>
        <w:rPr>
          <w:rFonts w:ascii="Times New Roman" w:hAnsi="Times New Roman"/>
          <w:color w:themeColor="dark1" w:val="000000"/>
          <w:sz w:val="28"/>
        </w:rPr>
        <w:t>учитываются проверки, административные расследования, допросы, опросы и другие юридически значимые меры.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31.07.2020 № 248-ФЗ </w:t>
        <w:br/>
        <w:t>«</w:t>
      </w:r>
      <w:r>
        <w:rPr>
          <w:rFonts w:ascii="Times New Roman" w:hAnsi="Times New Roman"/>
          <w:b w:val="false"/>
          <w:sz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</w:rPr>
        <w:t>» (далее – Федеральный закон № 248-ФЗ)</w:t>
      </w:r>
      <w:r>
        <w:rPr>
          <w:rFonts w:ascii="Times New Roman" w:hAnsi="Times New Roman"/>
          <w:b w:val="false"/>
          <w:sz w:val="28"/>
        </w:rPr>
        <w:t xml:space="preserve">, а также Концепцией совершенствования контрольной (надзорной) деятельности до 2026 года, утвержденной распоряжением Правительства Российской Федерации от </w:t>
      </w:r>
      <w:r>
        <w:rPr>
          <w:rFonts w:ascii="Times New Roman" w:hAnsi="Times New Roman"/>
          <w:sz w:val="28"/>
        </w:rPr>
        <w:t xml:space="preserve">21.12.2023 № 3745-р (далее – Концепция), осуществление контрольных (надзорных) полномочий осуществляется </w:t>
      </w:r>
      <w:r>
        <w:rPr>
          <w:rFonts w:ascii="Times New Roman" w:hAnsi="Times New Roman"/>
          <w:b w:val="false"/>
          <w:sz w:val="28"/>
        </w:rPr>
        <w:t xml:space="preserve">на основе управления рисками причинения вреда (ущерба), что подразумевает проведение плановых контрольных (надзорных) мероприятий (далее – КНМ) в соответствии с установленной периодичностью в зависимости от присвоенной категории риска объекту контроля, внеплановых КНМ по сработанному индикатору риска нарушения обязательных требований, а также профилактических визитов.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В Камчатском крае в 2024 году в отношении микро-, малых и средних предприятий федеральными контрольными (надзорными) органами проведено 82 КНМ по поручению Президента Российской Федерации.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В 2025 году в отношении микро-, малых и средних предприятий уже проведено 31 КНМ, из которых 8 КНМ на основании плана, 3 КНМ по программе проверок, 20 по иным основаниям.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В подобных случаях непроведение КНМ по указанным основаниям является нарушением законодательства о контрольной (надзорной) деятельности и влечет административную ответственность уполномоченных лиц контрольного (надзорного) органа. Тем не менее, подвергнутые контролю и надзору организации в рамках опроса могут отметить, что испытали административное давление, так как контрольные (надзорные) органы осуществляли юридически значимые действия, что впоследствии отразится в опросе Агентства стратегических инициатив как наличие административного давления.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В соответствии с Федеральным законом № 248-ФЗ минимизация риска причинения вреда (ущерба) охраняемым законом ценностям, вызванного нарушениями обязательных требований, осуществляется посредством проведения профилактических мероприятий, но в отдельных случаях, например, по поручению Президента Российской Федерации, требуется проведение контрольных (надзорных) мероприятий.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Следовательно, целевое значение 2030 года</w:t>
      </w:r>
      <w:r>
        <w:rPr>
          <w:rFonts w:ascii="Times New Roman" w:hAnsi="Times New Roman"/>
          <w:b/>
          <w:bCs/>
          <w:sz w:val="28"/>
        </w:rPr>
        <w:t xml:space="preserve"> не может быть</w:t>
      </w:r>
      <w:r>
        <w:rPr>
          <w:rFonts w:ascii="Times New Roman" w:hAnsi="Times New Roman"/>
          <w:b w:val="false"/>
          <w:sz w:val="28"/>
        </w:rPr>
        <w:t xml:space="preserve"> 0,01 единиц. </w:t>
      </w:r>
      <w:r>
        <w:rPr>
          <w:rFonts w:ascii="Times New Roman" w:hAnsi="Times New Roman"/>
          <w:b/>
          <w:bCs/>
          <w:sz w:val="28"/>
        </w:rPr>
        <w:t>Предлагается</w:t>
      </w:r>
      <w:r>
        <w:rPr>
          <w:rFonts w:ascii="Times New Roman" w:hAnsi="Times New Roman"/>
          <w:b w:val="false"/>
          <w:sz w:val="28"/>
        </w:rPr>
        <w:t xml:space="preserve"> пересмотреть методику расчета целевого значения показателя </w:t>
      </w:r>
      <w:r>
        <w:rPr>
          <w:rFonts w:ascii="Times New Roman" w:hAnsi="Times New Roman"/>
          <w:sz w:val="28"/>
        </w:rPr>
        <w:t xml:space="preserve">3.2.1. «Среднее количество контрольно-надзорных мероприятий в год» </w:t>
      </w:r>
      <w:r>
        <w:rPr>
          <w:rFonts w:ascii="Times New Roman" w:hAnsi="Times New Roman"/>
          <w:b w:val="false"/>
          <w:sz w:val="28"/>
        </w:rPr>
        <w:t>Национальной модели с учетом норм законодательства о контрольной (надзорной) деятельности и предусмотреть значение в диапазоне от 0,30 до 0,21 единиц.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/>
          <w:sz w:val="28"/>
        </w:rPr>
        <w:t>Показатель 3.2.2. «Доля компаний, столкнувшихся с давлением со стороны органов власти или естественных монополий», 3.3.2 «Доля предпринимателей, сталкивавшихся с необоснованным силовым давлением со стороны правоохранительных органов (от общего числа опрошенных)».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расчете показателя 3.2.2. «Доля компаний, столкнувшихся с давлением со стороны органов власти или естественных монополий» учитывается количество компаний, столкнувшихся со случаями коррупции со стороны органов власти или естественных монополий </w:t>
      </w:r>
      <w:r>
        <w:rPr>
          <w:rFonts w:ascii="Times New Roman" w:hAnsi="Times New Roman"/>
          <w:color w:themeColor="dark1" w:val="000000"/>
          <w:sz w:val="28"/>
        </w:rPr>
        <w:t>при взаимодействии с правоохранительными органами, иными контрольно-надзорными органами, органами судебной власти, органами законодательной власти, естественными монополиями.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25.12.2008 № 273-ФЗ </w:t>
        <w:br/>
        <w:t xml:space="preserve">«О противодействии коррупции», частью 3 статьи 7 Закона Камчатского края от 18.12.2008 № 192 «О противодействии коррупции в Камчатском крае» в исполнительных органах Камчатского края утверждены планы мероприятий по противодействию коррупции. 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Например, в соответствии с приказом Министерства экономического развития Камчатского края от 27.02.2025 № 41-П «Об утверждении Плана мероприятий по противодействию коррупции в Министерстве экономического развития Камчатского края на 2025–2029 годы» осуществляется мониторинг информации, поступающей от субъектов МСП в целях выявления административных барьеров и обеспечение принятия комплекса мер по устранению выявленных барьеров.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проведения мероприятий по противодействию коррупции на уровне исполнительных органов Камчатского края </w:t>
      </w:r>
      <w:r>
        <w:rPr>
          <w:rFonts w:ascii="Times New Roman" w:hAnsi="Times New Roman"/>
          <w:b/>
          <w:bCs/>
          <w:sz w:val="28"/>
        </w:rPr>
        <w:t>предлагается</w:t>
      </w:r>
      <w:r>
        <w:rPr>
          <w:rFonts w:ascii="Times New Roman" w:hAnsi="Times New Roman"/>
          <w:sz w:val="28"/>
        </w:rPr>
        <w:t xml:space="preserve"> транслировать положительную практику на все исполнительные органы Камчатского края.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При расчете показателя 3.3.2 «Доля предпринимателей, сталкивавшихся с необоснованным силовым давлением со стороны правоохранительных органов (от общего числа опрошенных)» учитывается </w:t>
      </w:r>
      <w:r>
        <w:rPr>
          <w:rFonts w:ascii="Times New Roman" w:hAnsi="Times New Roman"/>
          <w:color w:themeColor="dark1" w:val="000000"/>
          <w:sz w:val="28"/>
        </w:rPr>
        <w:t>доля предпринимателей, сталкивавшихся с необоснованным силовым давлением со стороны правоохранительных органов.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Правительства региона отсутствуют рычаги правового воздействия на федеральные правоохранительные ведомства, федеральные контрольные (надзорные) органы, </w:t>
      </w:r>
      <w:r>
        <w:rPr>
          <w:rFonts w:ascii="Times New Roman" w:hAnsi="Times New Roman"/>
          <w:color w:themeColor="dark1" w:val="000000"/>
          <w:sz w:val="28"/>
        </w:rPr>
        <w:t xml:space="preserve">органы судебной, законодательной власти, естественные монополии. 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dark1" w:val="000000"/>
          <w:sz w:val="28"/>
        </w:rPr>
        <w:t xml:space="preserve">В этой связи </w:t>
      </w:r>
      <w:r>
        <w:rPr>
          <w:rFonts w:ascii="Times New Roman" w:hAnsi="Times New Roman"/>
          <w:b/>
          <w:bCs/>
          <w:color w:themeColor="dark1" w:val="000000"/>
          <w:sz w:val="28"/>
        </w:rPr>
        <w:t>предлагается</w:t>
      </w:r>
      <w:r>
        <w:rPr>
          <w:rFonts w:ascii="Times New Roman" w:hAnsi="Times New Roman"/>
          <w:color w:themeColor="dark1"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образовать на уровне полномочного представителя Президента Российской Федерации в Дальневосточном Федеральном округе межрегиональную рабочую группу, предусмотрев участие силовых структур, правоохранительных органов, </w:t>
      </w:r>
      <w:r>
        <w:rPr>
          <w:rFonts w:ascii="Times New Roman" w:hAnsi="Times New Roman"/>
          <w:color w:themeColor="dark1" w:val="000000"/>
          <w:sz w:val="28"/>
        </w:rPr>
        <w:t>органов судебной, законодательной власти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Показатель 3.2.4. «Доля организаций и ИП, подвергнутых контролю и надзору, от общего числа подконтрольных».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sz w:val="28"/>
        </w:rPr>
        <w:t>Целевое значение показателя 3.2.4. «Доля организаций и ИП, подвергнутых контролю и надзору, от общего числа подконтрольных»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не может превышать целевое значение показателя 3.2.1. «Среднее количество контрольно-надзорных мероприятий в год», так как в отношении 1 хозяйствующего субъекта может быть проведено несколько контрольных (надзорных) мероприятий разными контрольными (надзорными) органами.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i w:val="false"/>
          <w:i w:val="false"/>
          <w:sz w:val="28"/>
        </w:rPr>
      </w:pPr>
      <w:r>
        <w:rPr>
          <w:rFonts w:ascii="Times New Roman" w:hAnsi="Times New Roman"/>
          <w:b/>
          <w:bCs/>
          <w:i w:val="false"/>
          <w:sz w:val="28"/>
        </w:rPr>
        <w:t>Предлагается</w:t>
      </w:r>
      <w:r>
        <w:rPr>
          <w:rFonts w:ascii="Times New Roman" w:hAnsi="Times New Roman"/>
          <w:b w:val="false"/>
          <w:i w:val="false"/>
          <w:sz w:val="28"/>
        </w:rPr>
        <w:t xml:space="preserve"> синхронизировать целевые состояния</w:t>
      </w:r>
      <w:r>
        <w:rPr>
          <w:rFonts w:ascii="Times New Roman" w:hAnsi="Times New Roman"/>
          <w:sz w:val="28"/>
        </w:rPr>
        <w:t xml:space="preserve"> показателей 3.2.1. «Среднее количество контрольно-надзорных мероприятий в год»</w:t>
      </w:r>
      <w:r>
        <w:rPr>
          <w:rFonts w:ascii="Times New Roman" w:hAnsi="Times New Roman"/>
          <w:b w:val="false"/>
          <w:i w:val="false"/>
          <w:sz w:val="28"/>
        </w:rPr>
        <w:t xml:space="preserve"> и </w:t>
      </w:r>
      <w:r>
        <w:rPr>
          <w:rFonts w:ascii="Times New Roman" w:hAnsi="Times New Roman"/>
          <w:sz w:val="28"/>
        </w:rPr>
        <w:t>показателя 3.2.4. «Доля организаций и ИП, подвергнутых контролю и надзору, от общего числа подконтрольных».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i w:val="false"/>
          <w:i w:val="false"/>
          <w:sz w:val="28"/>
        </w:rPr>
      </w:pPr>
      <w:r>
        <w:rPr>
          <w:rFonts w:ascii="Times New Roman" w:hAnsi="Times New Roman"/>
          <w:b w:val="false"/>
          <w:i w:val="false"/>
          <w:sz w:val="28"/>
        </w:rPr>
      </w:r>
    </w:p>
    <w:p>
      <w:pPr>
        <w:pStyle w:val="Normal"/>
        <w:ind w:firstLine="709" w:left="0" w:right="0"/>
        <w:rPr>
          <w:rFonts w:ascii="Times New Roman" w:hAnsi="Times New Roman"/>
          <w:b w:val="false"/>
          <w:i w:val="false"/>
          <w:i w:val="false"/>
          <w:sz w:val="28"/>
        </w:rPr>
      </w:pPr>
      <w:r>
        <w:rPr>
          <w:rFonts w:ascii="Times New Roman" w:hAnsi="Times New Roman"/>
          <w:b/>
          <w:sz w:val="28"/>
        </w:rPr>
        <w:t xml:space="preserve">Показатель 3.2.5 «Доля профилактических мероприятий в общем количестве контрольно-надзорных и профилактических мероприятий». </w:t>
      </w:r>
    </w:p>
    <w:p>
      <w:pPr>
        <w:pStyle w:val="Normal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показателя 3.2.5 «Доля профилактических мероприятий в общем количестве контрольно-надзорных и профилактических мероприятий» учитываются профилактические визиты и предостережения.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№ 248-ФЗ профилактический визит по запросу контролируемого лица может быть проведен в отношении </w:t>
      </w:r>
      <w:r>
        <w:rPr>
          <w:rFonts w:ascii="Times New Roman" w:hAnsi="Times New Roman"/>
          <w:b w:val="false"/>
          <w:sz w:val="28"/>
        </w:rPr>
        <w:t>субъектов малого предпринимательства, социально ориентированной некоммерческой организации либо государственного или муниципального учреждения.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Обязательные профилактические визиты в отношении объектов контроля с высокой категорией риска проводятся с установленной Федеральным законом</w:t>
        <w:br/>
        <w:t xml:space="preserve">№ 248-ФЗ периодичностью.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В соответствии с пунктом 1 раздела 2 протокола Минэкономразвития России от 31.01.2025 № 4-Д24 ограничения на проведение профилактического визита установлены </w:t>
      </w:r>
      <w:r>
        <w:rPr>
          <w:rFonts w:ascii="Times New Roman" w:hAnsi="Times New Roman"/>
          <w:sz w:val="28"/>
        </w:rPr>
        <w:t>в соответствии с последними решениями Правительства Российской Федерации в связи нецелесообразностью их массового проведения ввиду высокой нагрузки на инспекторский состав, а также злоупотреблением правом контролируемых лиц на их проведение.</w:t>
      </w:r>
      <w:r>
        <w:rPr>
          <w:rFonts w:ascii="Times New Roman" w:hAnsi="Times New Roman"/>
          <w:b w:val="false"/>
          <w:sz w:val="28"/>
        </w:rPr>
        <w:t xml:space="preserve"> 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Дополнительно сообщаем, что в Камчатском крае в 2025 году прирост доли микропредприятий (как часть малых предприятий) по отношению к 2024 году составляет 0,6 %. В отношении малых предприятий в 2024 году наблюдается отрицательная динамика по отношению к 2023 году – на 0,4 %.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Также в сводный доклад о государственном контроле (надзоре), муниципальном контроле в Российской Федерации, который формируется Минэкономразвития России, включены данные Рейтинга органов контроля (далее – Рейтинг), в соответствии с которым наивысший балл по разделу «Профилактика» присваивается в случае, если доля профилактических визитов в общем количестве контрольно-надзорных и профилактических мероприятий составляет</w:t>
        <w:br/>
        <w:t>от 50 % до 60 %.</w:t>
      </w:r>
    </w:p>
    <w:p>
      <w:pPr>
        <w:pStyle w:val="Normal"/>
        <w:spacing w:lineRule="auto" w:line="240"/>
        <w:ind w:firstLine="709" w:left="0" w:right="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Учитывая изложенное, </w:t>
      </w:r>
      <w:r>
        <w:rPr>
          <w:rFonts w:ascii="Times New Roman" w:hAnsi="Times New Roman"/>
          <w:b/>
          <w:bCs/>
          <w:sz w:val="28"/>
        </w:rPr>
        <w:t>предлагаем</w:t>
      </w:r>
      <w:r>
        <w:rPr>
          <w:rFonts w:ascii="Times New Roman" w:hAnsi="Times New Roman"/>
          <w:b w:val="false"/>
          <w:sz w:val="28"/>
        </w:rPr>
        <w:t xml:space="preserve"> рассмотреть вопрос о синхронизации показателя </w:t>
      </w:r>
      <w:r>
        <w:rPr>
          <w:rFonts w:ascii="Times New Roman" w:hAnsi="Times New Roman"/>
          <w:sz w:val="28"/>
        </w:rPr>
        <w:t xml:space="preserve">3.2.5 «Доля профилактических мероприятий в общем количестве контрольно-надзорных и профилактических мероприятий» с Рейтингом и </w:t>
      </w:r>
      <w:r>
        <w:rPr>
          <w:rFonts w:ascii="Times New Roman" w:hAnsi="Times New Roman"/>
          <w:sz w:val="28"/>
          <w:szCs w:val="28"/>
        </w:rPr>
        <w:t xml:space="preserve">предусмотреть значение в диапазоне от 50 % до 60 %. </w:t>
      </w:r>
    </w:p>
    <w:p>
      <w:pPr>
        <w:pStyle w:val="Normal"/>
        <w:spacing w:lineRule="auto" w:line="240"/>
        <w:ind w:firstLine="709" w:left="0" w:righ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BodyText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b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color w:val="000000"/>
          <w:sz w:val="28"/>
          <w:szCs w:val="28"/>
        </w:rPr>
        <w:t xml:space="preserve">В сфере развития МСП Национальной моделью целевых условий ведения бизнеса установлены следующие показатели: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Показатель 8.1.1. «Количество субъектов МСП на 1 тыс. человек населения»;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Показатель 8.1.2. «Доля численности работников МСП в общей численности занятого населения».</w:t>
      </w:r>
    </w:p>
    <w:p>
      <w:pPr>
        <w:pStyle w:val="BodyText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color w:val="000000"/>
          <w:sz w:val="28"/>
          <w:szCs w:val="28"/>
        </w:rPr>
        <w:t>Вышеуказанные показатели не соответствуют обновленному Национальному проекту «Эффективная и конкурентная экономика» , в состав которого вошел Федеральный проект «МСП и поддержка предпринимательской инициативы». Новыми приоритетами для развития МСП становятся рост доходов субъектов МСП и их развитие и переход в «более высокую» категорию.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/>
          <w:i w:val="false"/>
          <w:iCs w:val="false"/>
          <w:color w:val="000000"/>
          <w:sz w:val="28"/>
          <w:szCs w:val="28"/>
          <w:shd w:fill="FFFFFF" w:val="clear"/>
        </w:rPr>
        <w:t>Основные показатели проекта к 2030 году</w:t>
      </w:r>
      <w:r>
        <w:rPr>
          <w:rFonts w:ascii="Times New Roman" w:hAnsi="Times New Roman"/>
          <w:i w:val="false"/>
          <w:iCs w:val="false"/>
          <w:color w:val="000000"/>
          <w:sz w:val="28"/>
          <w:szCs w:val="28"/>
          <w:shd w:fill="FFFFFF" w:val="clear"/>
        </w:rPr>
        <w:t>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color w:val="000000"/>
          <w:sz w:val="28"/>
          <w:szCs w:val="28"/>
          <w:shd w:fill="FFFFFF" w:val="clear"/>
        </w:rPr>
        <w:t>1. Доля субъектов МСП, превысивших предельные значения для определения категорий субъектов МСП (микро-, малые, средние) – 0,8%.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color w:val="000000"/>
          <w:sz w:val="28"/>
          <w:szCs w:val="28"/>
          <w:shd w:fill="FFFFFF" w:val="clear"/>
        </w:rPr>
        <w:t>2. Уровень удовлетворенности субъектов МСП, получивших услуги организаций инфраструктуры поддержки субъектов МСП – 80%.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Так, для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показателя 8.1.1. </w:t>
      </w:r>
      <w:r>
        <w:rPr>
          <w:rFonts w:ascii="Times New Roman" w:hAnsi="Times New Roman"/>
          <w:color w:val="000000"/>
          <w:sz w:val="28"/>
          <w:szCs w:val="28"/>
        </w:rPr>
        <w:t xml:space="preserve">«Количество субъектов МСП на 1 тыс. человек населения» дано фактическое значение в размере 91,66 шт./ тыс. чел. значения. И далее плановые значения с 2025 по 2027 годы в размере 99,16 шт./ тыс. чел., 106,66 шт./ тыс. чел., 114,16 шт./ тыс. чел. соответственно.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Исходя из статистических данных численность населения Камчатского края в среднегодовом исчислении составляла в 2024 году 289,522 тыс. чел. Количество субъектов МСП по состоянию на 10.01.2025 года (по данным УФНС из Единого реестра МСП) составило 15,623 тыс.ед. Соответственно, количество субъектов МСП на 1 тыс. человек населения по вышеуказанным данным составляет 54 шт./ тыс. чел. и никак не может быть равна 91,66 шт./ тыс. чел. Следовательно, плановые значения показателя 8.1.1. также не могут соответствовать реальным прогнозным значениям в связи с принятыми изначально ошибочными значениями для расчета.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показателю 8.1.2. </w:t>
      </w:r>
      <w:r>
        <w:rPr>
          <w:rFonts w:ascii="Times New Roman" w:hAnsi="Times New Roman"/>
          <w:color w:val="000000"/>
          <w:sz w:val="28"/>
          <w:szCs w:val="28"/>
        </w:rPr>
        <w:t>предлагаемые значения существенно превышают средний фактический сложившийся темп роста по региону (до 5 %), вместе с тем, предлагаемые значения имеют значения в 111,8 %, 109,9 %, 109,0 % соответственно до 2027 года. Таким образом, при установленных плановых значениях численности занятого населения региона (в базовом варианте), численность занятых в СМСП в 2027 году должна составить 75,02 тыс человек (при фактическом значении за 2023 год - 55,2 тыс человек).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Предлагается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color w:val="000000"/>
          <w:sz w:val="28"/>
          <w:szCs w:val="28"/>
        </w:rPr>
        <w:t xml:space="preserve">пересмотреть методику расчета целевого значения показателей  </w:t>
      </w:r>
      <w:r>
        <w:rPr>
          <w:rFonts w:ascii="Times New Roman" w:hAnsi="Times New Roman"/>
          <w:color w:val="000000"/>
          <w:sz w:val="28"/>
          <w:szCs w:val="28"/>
        </w:rPr>
        <w:t>8.1.1 и 8.1.2 в соответствии с корректными данными в связи с наличием ошибочных значений, используемых при расчетах. Кроме того, указанные показатели являются устаревшими, так как не соответствуют новому Национальному проекту «Эффективна и конкурентная экономика».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Показатель 8.2.1 «Доля государственных и муниципальных контрактов с субъектами малого бизнеса (СМП) в общем количестве государственных и муниципальных контрактов».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редложения и замечания отсутствуют.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 Министерство имущественных и земельных отношений Камчатского края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1.3.1 «Среднее время регистрации прав собственности»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1.3.2 «Среднее количество процедур при регистрации прав собственности»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1.4.1 «Среднее время постановки на кадастровый учет»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1.4.2 «Среднее количество процедур, необходимых для постановки на кадастровый учет»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1.5.1 «Среднее время получения в аренду земельных участков (без проведения торгов)»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1.5.2 «Среднее количество процедур для получения в аренду земельных участков (без проведения торгов)»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1.5.4 «Среднее время получения в аренду земельных участков (с проведением торгов)»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1.5.5 «Среднее количество процедур для получения в аренду земельных участков (с проведением торгов)»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Предложения по всем показателям отсутствуют.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 Министерство строительства и жилищной политики Камчатского края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Показатель 1.1.1 «Среднее время получения разрешения на строительство»</w:t>
      </w:r>
      <w:r>
        <w:rPr>
          <w:rFonts w:ascii="Times New Roman" w:hAnsi="Times New Roman"/>
        </w:rPr>
        <w:t xml:space="preserve"> включает в себя время, затраченное инвестором на получение разрешительных документов, начиная подачи заявлений на получение земельного участка и заканчивая подготовкой документов по окончанию строительства.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этом, значительную часть времени занимают процедуры, осуществляемые застройщиком по договорам подряда. Это процедуры по выполнению инженерных изысканий, установлению санитарно-защитных зон, проектирование объекта, непосредственно строительство.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Учитывая, что договоры подряда заключаются между застройщиком и исполнителем работ на срок по договоренности обеих сторон, время их прохождения законодательством не регулируется.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Кроме того, помимо времени, требуемого на обработку документов необходимо выполнить ряд обязательных мероприятий, таких как прохождение межведомственной комплексной комиссии по согласованию работ, связанных с инженерными коммуникациями (подземная комиссия), закупка материалов и оборудования.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Выполнение таких мероприятий за 49 рабочих дней практически невозможно, следовательно, обеспечить к 2030 году показатель в количестве 48,8 дней представляется недостижимым.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Предложение</w:t>
      </w:r>
      <w:r>
        <w:rPr>
          <w:rFonts w:ascii="Times New Roman" w:hAnsi="Times New Roman"/>
        </w:rPr>
        <w:t>: Исключить из расчета времени, время затраченного инвестором на выполнение процедур, осуществляемых на договорных основах.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Показатель 1.1.2 «Среднее количество процедур, необходимых для получения разрешения на строительство». </w:t>
      </w:r>
      <w:r>
        <w:rPr>
          <w:rFonts w:ascii="Times New Roman" w:hAnsi="Times New Roman"/>
          <w:b w:val="false"/>
          <w:bCs w:val="false"/>
        </w:rPr>
        <w:t>По данным Процедурам Министерство строительства и жилищной политики Камчатского края систематически поводит мониторинг прохождения застройщиками, попадающими под критерии отбора Национального рейтинга по направлению «Строительство», из которого следует, что количество процедур определяется застройщиками по факту взаимодействия с организациями различных форм собственности, без привязки к процедурам, закрепленных законодательно.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Следовательно, достижение данных значений напрямую зависит от субъективного восприятия застройщиками выполняемых ими действий и также не представляется возможным в указанных количествах.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Предложение</w:t>
      </w:r>
      <w:r>
        <w:rPr>
          <w:rFonts w:ascii="Times New Roman" w:hAnsi="Times New Roman"/>
          <w:b w:val="false"/>
          <w:bCs w:val="false"/>
        </w:rPr>
        <w:t xml:space="preserve">: При анкетировании респондентов предложить перечень процедур, которые застройщику необходимо пройти, и их учитывать при оценке показателя. Дополнительно ввести графу для процедур, которые застройщик  проходит без взаимодействия с исполнительными органами и органами местного самоуправления, но не включать их в расчет.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Показатель 1.2.1 «Среднее время получения разрешения на ввод объекта в эксплуатацию». </w:t>
      </w:r>
      <w:r>
        <w:rPr>
          <w:rFonts w:ascii="Times New Roman" w:hAnsi="Times New Roman"/>
          <w:b w:val="false"/>
          <w:bCs w:val="false"/>
        </w:rPr>
        <w:t>По данным Процедурам Министерство строительства и жилищной политики Камчатского края систематически проводит мониторинг прохождения застройщиками, попадающими под критерии отбора Национального рейтинга по направлению «Строительство», из которого следует, что количество процедур определяется застройщиками по факту взаимодействия с организациями различных форм собственности, без привязки к процедурам, закрепленных законодательно.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 xml:space="preserve">Следовательно, достижение данных значений напрямую зависит от субъективного восприятия застройщиками выполняемых ими действий и так же не представляется возможным в указанных количествах.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Предложение</w:t>
      </w:r>
      <w:r>
        <w:rPr>
          <w:rFonts w:ascii="Times New Roman" w:hAnsi="Times New Roman"/>
          <w:b w:val="false"/>
          <w:bCs w:val="false"/>
        </w:rPr>
        <w:t>: Исключить из расчета времени, время затраченного инвестором на выполнение процедур, осуществляемых на договорных основах.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Показатель 1.2.2 «Среднее количество процедур для получения разрешения на ввод объекта в эксплуатацию». </w:t>
      </w:r>
      <w:r>
        <w:rPr>
          <w:rFonts w:ascii="Times New Roman" w:hAnsi="Times New Roman"/>
          <w:b w:val="false"/>
          <w:bCs w:val="false"/>
        </w:rPr>
        <w:t>По данным Процедурам Министерство строительства и жилищной политики Камчатского края систематически проводит мониторинг прохождения застройщиками, попадающими под критерии отбора Национального рейтинга по направлению «Строительство», из которого следует, что количество процедур определяется застройщиками по факту взаимодействия с организациями различных форм собственности, без привязки к процедурам, закрепленных законодательно.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Следовательно, достижение данных значений напрямую зависит от субъективного восприятия застройщиками выполняемых ими действий и так же не представляется возможным в указанных количествах.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rFonts w:ascii="Times New Roman" w:hAnsi="Times New Roman"/>
          <w:b/>
          <w:bCs/>
        </w:rPr>
        <w:t>Предложение</w:t>
      </w:r>
      <w:r>
        <w:rPr>
          <w:rFonts w:ascii="Times New Roman" w:hAnsi="Times New Roman"/>
          <w:b w:val="false"/>
          <w:bCs w:val="false"/>
        </w:rPr>
        <w:t xml:space="preserve">: При анкетировании респондентов предложить перечень процедур, которые застройщику необходимо пройти, и их учитывать при оценке показателя. Дополнительно ввести графу для процедур, которые застройщик  проходит без взаимодействия с исполнительными органами и органами местного самоуправления, но не включать их в расчет.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 Министерство ЖКХ и энергетики Камчатского края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2.1.1 «Среднее время подключения к электросетям».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Предложения отсутствуют.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Показатель 2.1.2 «Среднее количество процедур при подключении к электросетям».</w:t>
      </w:r>
      <w:r>
        <w:rPr>
          <w:rFonts w:ascii="Times New Roman" w:hAnsi="Times New Roman"/>
          <w:b w:val="false"/>
          <w:bCs w:val="false"/>
        </w:rPr>
        <w:t xml:space="preserve"> Заявители, попадающие под критерии Национального рейтинга, в рамках оценки деятельности сетевой организации, определяли количество процедур по факту их взаимодействия с Сетевой организацией (т.е. субъективно, без привязки к процедурам, определенным Правилами), возможно, включая в отдельные процедуры консультации в центре обслуживания потребителей по подаче заявки на присоединение или разъяснения инженеров отдела технологического присоединения по наполнению технических условий и заключению договора.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Предложение</w:t>
      </w:r>
      <w:r>
        <w:rPr>
          <w:rFonts w:ascii="Times New Roman" w:hAnsi="Times New Roman"/>
          <w:b w:val="false"/>
          <w:bCs w:val="false"/>
        </w:rPr>
        <w:t>: среднее количество процедур при подключении к электросети к 2030 году установить 4 шт.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Показатели 2.2.1 «Среднее время подключения к газопроводу» и 2.2.2 «Среднее количество процедур, необходимых для подключения к газопроводу».</w:t>
      </w:r>
      <w:r>
        <w:rPr>
          <w:rFonts w:ascii="Times New Roman" w:hAnsi="Times New Roman"/>
          <w:b w:val="false"/>
          <w:bCs w:val="false"/>
        </w:rPr>
        <w:t xml:space="preserve"> Газ отсутствует. Предложений нет.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Показатель 2.3.1 «Среднее время подключения к сетям водоснабжения».</w:t>
      </w:r>
      <w:r>
        <w:rPr>
          <w:rFonts w:ascii="Times New Roman" w:hAnsi="Times New Roman"/>
          <w:b w:val="false"/>
          <w:bCs w:val="false"/>
        </w:rPr>
        <w:t xml:space="preserve">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Показатель 2.3.4 «Среднее время подключения к сетям водоотведения».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Пунктом 33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утвержденных постановлением Правительства Российской Федерации от 30.11.2021 № 2130 (далее – Правила подключения) предусмотрено 20 рабочих дней только на выдачу договора о подключении.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Далее, в случае строительства сетей со стороны организации водопроводно-канализационного хозяйства для подключения объекта к централизованным системам холодного водоснабжения и водоотведения помимо времени, требуемого на обработку документов необходимо выполнить ряд обязательных мероприятий: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Прохождение межведомственной комплексной комиссии по согласованию работ, связанных с инженерными коммуникациями (подземная комиссия);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Разработка проектной документации;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Прохождение государственной экспертизы проектной документации (при необходимости);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Закупка материалов и оборудования;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разрешения на размещение линейного объекта и оформление сервитутов;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ордера на проведение земляных работ;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Выполнение строительно-монтажных работ.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Выполнение вышеуказанных мероприятий за 42 рабочих дня физически невозможно, что делает оценку недостижимой.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Кроме того, оценка данных показателей не учитывает региональные факты Камчатского края: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Производство земляных работ возможно только в весенне-летний период, тогда как заявления на подключение поступают круглый год;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Логистика. Отсутствие материалов в Камчатском крае и необходимость их поставки с других регионов Российской Федерации;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Отсутствие в Камчатском крае в достаточном объеме квалифицированных подрядных организаций.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Также, при оценке данных показателей зачастую не исключается время ожидания по инициативе заявителя (время на выполнение условий подключения) и/или из-за непредставления полного пакета документов, необходимых для проведения процедуры подключения.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>Предлагаем</w:t>
      </w:r>
      <w:r>
        <w:rPr>
          <w:rFonts w:ascii="Times New Roman" w:hAnsi="Times New Roman"/>
          <w:b w:val="false"/>
          <w:bCs w:val="false"/>
        </w:rPr>
        <w:t xml:space="preserve"> пересмотреть значения показателей и приблизить их к более реальным, равным 100 рабочих дней.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/>
          <w:bCs/>
        </w:rPr>
        <w:t xml:space="preserve">Показатель 2.3.2 «Среднее количество процедур, необходимых для подключения к сетям водоснабжения».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Показатель 2.3.5 «Среднее количество процедур, необходимых для подключения к сетям водоотведения».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Пунктом 4 Правил подключения установлен порядок подключения: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а) направление заявителем исполнителю запроса о выдаче технических условий;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б) направление заявителем исполнителю заявления о подключении;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в) заключение договора о подключении;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г) выполнение мероприятий по подключению, предусмотренных договором о подключении;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д) подписание заявителем и исполнителем акта о подключении.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Это 5 обязательных процедур взаимодействия с организацией водопроводно-канализационного хозяйства, установленных федеральным нормативным актом.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Минимальное количество процедур, необходимое для осуществления подключения со стороны КГУП «Камчатский водоканал» составляет 4 шт. и приведено таблице ниже, без учета обязательных процедур взаимодействия заявителя со сторонними контрагентами, включая органы государственной и муниципальной власти.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Наименование процедур: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1. Заключение договора о подключении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2. Согласование проектной документации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3. Проверка выполнения условий подключения по договору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4. Заключение договора на предоставление услуг ВС/ВО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Немаловажным фактом является увеличение количества заявителей, выбирающих способ самостоятельного строительства сетей для подключения объекта, что в свою очередь для заявителя является более выгодным способом как с точки зрения финансовой составляющей, так и с точки зрения сроков подключения.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Тем не менее, такой способ предполагает самостоятельное дополнительное обращение в административные органы для получения разрешительной документации, что увеличивает не только пункты 2.3.2. и 2.3.5., но и пункты 2.3.1 и 2.3.4: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Прохождение межведомственной комплексной комиссии по согласованию земляных работ, связанных с подземными коммуникациями. (подземная комиссия);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технических условий на пересечение коммуникаций (при необходимости);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разрешения на размещение линейного объекта;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ордера на проведение земляных работ;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 xml:space="preserve">– </w:t>
      </w:r>
      <w:r>
        <w:rPr>
          <w:rFonts w:ascii="Times New Roman" w:hAnsi="Times New Roman"/>
          <w:b w:val="false"/>
          <w:bCs w:val="false"/>
        </w:rPr>
        <w:t>Получение разрешения на вырубку деревьев (при необходимости).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Предлагаем пересмотреть значение оценок в сторону увеличения и установить значение показателей – 6 шт.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 Министерство образования Камчатского края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Показатель 7.1.1 «Доля выпускников в промышленном производстве, сельском хозяйстве, строительстве, транспорте и связи от общей численности занятых в этих секторах».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>В соответствии с рекомендациями Министерства просвещения Российской Федерации, изложенным в протоколе совещания Департамента государственной политики в сфере среднего профессионального образования и профессионального обучения с руководителями органов исполнительной власти субъектов Российской Федерации, осуществляющих государственное управление в сфере образования (18.02.2025), при формировании контрольных цифр приема на обучение по образовательным программам среднего профессионального образования необходимо учитывать прогноз кадровой потребности, утвержденный Министерством труда Российской Федерации. В связи с вышеизложенным, предлагаем заменить показатель «Доля выпускников в промышленном производстве, сельском хозяйстве, строительстве, транспорте и связи от общей численности занятых в этих секторах» на показатель «Доля выпускников в промышленном производстве, сельском хозяйстве, строительстве, транспорте и связи от общей численности замещающей потребности в этих секторах» согласно приложению.</w:t>
      </w:r>
    </w:p>
    <w:p>
      <w:pPr>
        <w:pStyle w:val="Normal"/>
        <w:spacing w:lineRule="auto" w:line="240"/>
        <w:rPr>
          <w:rFonts w:ascii="Times New Roman" w:hAnsi="Times New Roman"/>
          <w:b w:val="false"/>
          <w:bCs w:val="false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</w:r>
    </w:p>
    <w:p>
      <w:pPr>
        <w:pStyle w:val="Normal"/>
        <w:widowControl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8"/>
          <w:szCs w:val="28"/>
          <w:shd w:fill="auto" w:val="clear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72" w:gutter="0" w:header="570" w:top="1140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Open Sans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Style9">
    <w:name w:val="Символ нумерации"/>
    <w:qFormat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">
    <w:name w:val="Header"/>
    <w:basedOn w:val="Style12"/>
    <w:pPr>
      <w:suppressLineNumbers/>
      <w:tabs>
        <w:tab w:val="clear" w:pos="720"/>
        <w:tab w:val="center" w:pos="4932" w:leader="none"/>
        <w:tab w:val="right" w:pos="986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 pitchFamily="0" charset="1"/>
        <a:ea typeface=""/>
        <a:cs typeface=""/>
      </a:majorFont>
      <a:minorFont>
        <a:latin typeface="XO Thame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0"/>
        <a:ln w="0"/>
        <a:ln w="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Application>LibreOffice/24.2.3.2$Windows_X86_64 LibreOffice_project/433d9c2ded56988e8a90e6b2e771ee4e6a5ab2ba</Application>
  <AppVersion>15.0000</AppVersion>
  <Pages>10</Pages>
  <Words>2926</Words>
  <Characters>21954</Characters>
  <CharactersWithSpaces>24814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2025-03-13T15:07:14Z</cp:lastPrinted>
  <dcterms:modified xsi:type="dcterms:W3CDTF">2025-03-17T12:52:50Z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